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84bis</w:t>
      </w:r>
      <w:r w:rsidRPr="00446F9D">
        <w:tab/>
        <w:t>R1-</w:t>
      </w:r>
      <w:r>
        <w:t>16</w:t>
      </w:r>
      <w:r w:rsidR="00440D91">
        <w:t>3255</w:t>
      </w:r>
      <w:bookmarkStart w:id="0" w:name="_GoBack"/>
      <w:bookmarkEnd w:id="0"/>
    </w:p>
    <w:p w:rsidR="00FE5799" w:rsidRPr="000833FA" w:rsidRDefault="00FE5799" w:rsidP="00FE5799">
      <w:pPr>
        <w:pStyle w:val="Header"/>
        <w:rPr>
          <w:color w:val="000000"/>
        </w:rPr>
      </w:pPr>
      <w:r>
        <w:t>Busan</w:t>
      </w:r>
      <w:r w:rsidRPr="000833FA">
        <w:t xml:space="preserve">, </w:t>
      </w:r>
      <w:r>
        <w:t>South Korea</w:t>
      </w:r>
      <w:r w:rsidRPr="000833FA">
        <w:t>,</w:t>
      </w:r>
      <w:r>
        <w:t xml:space="preserve"> April 11 – 15,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360BA6">
        <w:t xml:space="preserve">, </w:t>
      </w:r>
      <w:r w:rsidR="00B73929">
        <w:t xml:space="preserve">Nokia Networks, </w:t>
      </w:r>
      <w:r w:rsidR="00E40C74">
        <w:t>NTT DOCOMO</w:t>
      </w:r>
      <w:r w:rsidR="00986D22">
        <w:t>, Samsung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908A9">
        <w:t>Removing square brackets in the O2I penetration loss model</w:t>
      </w:r>
      <w:r w:rsidR="00962D32">
        <w:t>ing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962D32">
        <w:t>8.2.1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4A3F44" w:rsidRDefault="001639B5" w:rsidP="004A3F44">
      <w:pPr>
        <w:pStyle w:val="Heading1"/>
      </w:pPr>
      <w:r>
        <w:t>Introduction</w:t>
      </w:r>
    </w:p>
    <w:p w:rsidR="00540320" w:rsidRDefault="00540320" w:rsidP="00A55C73">
      <w:pPr>
        <w:pStyle w:val="BodyText"/>
      </w:pPr>
      <w:r>
        <w:t xml:space="preserve">In the Ad-Hoc meeting in Ljubljana two agreements </w:t>
      </w:r>
      <w:r>
        <w:fldChar w:fldCharType="begin"/>
      </w:r>
      <w:r>
        <w:instrText xml:space="preserve"> REF _Ref447138705 \r \h </w:instrText>
      </w:r>
      <w:r>
        <w:fldChar w:fldCharType="separate"/>
      </w:r>
      <w:r>
        <w:t>[1]</w:t>
      </w:r>
      <w:r>
        <w:fldChar w:fldCharType="end"/>
      </w:r>
      <w:r>
        <w:t>,</w:t>
      </w:r>
      <w:r>
        <w:fldChar w:fldCharType="begin"/>
      </w:r>
      <w:r>
        <w:instrText xml:space="preserve"> REF _Ref447138707 \r \h </w:instrText>
      </w:r>
      <w:r>
        <w:fldChar w:fldCharType="separate"/>
      </w:r>
      <w:r>
        <w:t>[2]</w:t>
      </w:r>
      <w:r>
        <w:fldChar w:fldCharType="end"/>
      </w:r>
      <w:r>
        <w:t xml:space="preserve"> were made related to building penetration loss modeling. In the final agreement, the following table is </w:t>
      </w:r>
      <w:r w:rsidR="00BA72EC">
        <w:t>provided</w:t>
      </w:r>
      <w:r>
        <w:t xml:space="preserve"> where there are square brackets around some terms.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3327"/>
        <w:gridCol w:w="1295"/>
        <w:gridCol w:w="2311"/>
      </w:tblGrid>
      <w:tr w:rsidR="00540320" w:rsidRPr="0029608A" w:rsidTr="0079450A">
        <w:tc>
          <w:tcPr>
            <w:tcW w:w="2310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3327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Path loss through external wall: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PL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tw</m:t>
                  </m:r>
                </m:sub>
              </m:sSub>
            </m:oMath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[dB]</w:t>
            </w:r>
          </w:p>
        </w:tc>
        <w:tc>
          <w:tcPr>
            <w:tcW w:w="1295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Indoor loss: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PL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in</m:t>
                  </m:r>
                </m:sub>
              </m:sSub>
            </m:oMath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[dB/m]</w:t>
            </w:r>
          </w:p>
        </w:tc>
        <w:tc>
          <w:tcPr>
            <w:tcW w:w="2311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Standard deviation: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eastAsia="ja-JP"/>
                </w:rPr>
                <m:t>σ</m:t>
              </m:r>
            </m:oMath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[dB]</w:t>
            </w:r>
          </w:p>
        </w:tc>
      </w:tr>
      <w:tr w:rsidR="00540320" w:rsidRPr="0029608A" w:rsidTr="0079450A">
        <w:tc>
          <w:tcPr>
            <w:tcW w:w="2310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Low loss model</w:t>
            </w:r>
          </w:p>
        </w:tc>
        <w:tc>
          <w:tcPr>
            <w:tcW w:w="3327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[5]-10</m:t>
                </m:r>
                <m:sSub>
                  <m:sSub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0.3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glass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0.7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concrete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</w:tc>
        <w:tc>
          <w:tcPr>
            <w:tcW w:w="1295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2311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[3]</w:t>
            </w:r>
          </w:p>
        </w:tc>
      </w:tr>
      <w:tr w:rsidR="00540320" w:rsidRPr="0029608A" w:rsidTr="0079450A">
        <w:tc>
          <w:tcPr>
            <w:tcW w:w="2310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High loss model</w:t>
            </w:r>
          </w:p>
        </w:tc>
        <w:tc>
          <w:tcPr>
            <w:tcW w:w="3327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[5]-10</m:t>
                </m:r>
                <m:sSub>
                  <m:sSub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0.7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IRRglass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0.3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concrete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</w:tc>
        <w:tc>
          <w:tcPr>
            <w:tcW w:w="1295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2311" w:type="dxa"/>
          </w:tcPr>
          <w:p w:rsidR="00540320" w:rsidRPr="0029608A" w:rsidRDefault="00540320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[5]</w:t>
            </w:r>
          </w:p>
        </w:tc>
      </w:tr>
    </w:tbl>
    <w:p w:rsidR="00022E81" w:rsidRPr="00022E81" w:rsidRDefault="00491BB9" w:rsidP="004A619D">
      <w:pPr>
        <w:pStyle w:val="Heading1"/>
        <w:rPr>
          <w:lang w:val="en-GB"/>
        </w:rPr>
      </w:pPr>
      <w:r>
        <w:rPr>
          <w:lang w:val="en-GB"/>
        </w:rPr>
        <w:t>Discussion</w:t>
      </w:r>
    </w:p>
    <w:p w:rsidR="00022E81" w:rsidRDefault="00540320" w:rsidP="00022E81">
      <w:pPr>
        <w:pStyle w:val="BodyText"/>
        <w:rPr>
          <w:szCs w:val="20"/>
          <w:lang w:eastAsia="ja-JP"/>
        </w:rPr>
      </w:pPr>
      <w:r>
        <w:t xml:space="preserve">The </w:t>
      </w:r>
      <w:r w:rsidR="009C26E5">
        <w:t>value within square brackets</w:t>
      </w:r>
      <w:r>
        <w:t xml:space="preserve"> in the </w:t>
      </w:r>
      <m:oMath>
        <m:sSub>
          <m:sSubPr>
            <m:ctrlPr>
              <w:rPr>
                <w:rFonts w:ascii="Cambria Math" w:hAnsi="Cambria Math" w:cs="Arial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Cs w:val="22"/>
                <w:lang w:eastAsia="ja-JP"/>
              </w:rPr>
              <m:t>PL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  <w:lang w:eastAsia="ja-JP"/>
              </w:rPr>
              <m:t>tw</m:t>
            </m:r>
          </m:sub>
        </m:sSub>
      </m:oMath>
      <w:r w:rsidRPr="00540320">
        <w:rPr>
          <w:szCs w:val="22"/>
          <w:lang w:eastAsia="ja-JP"/>
        </w:rPr>
        <w:t xml:space="preserve"> </w:t>
      </w:r>
      <w:r w:rsidRPr="00540320">
        <w:rPr>
          <w:szCs w:val="20"/>
          <w:lang w:eastAsia="ja-JP"/>
        </w:rPr>
        <w:t>column is a term</w:t>
      </w:r>
      <w:r>
        <w:rPr>
          <w:szCs w:val="20"/>
          <w:lang w:eastAsia="ja-JP"/>
        </w:rPr>
        <w:t xml:space="preserve"> that accounts for non-perpendicular incidence of the propagation paths in relation to the external wall. While there have been model proposals that includes explicit angular dependence</w:t>
      </w:r>
      <w:r w:rsidR="00291EDC">
        <w:rPr>
          <w:szCs w:val="20"/>
          <w:lang w:eastAsia="ja-JP"/>
        </w:rPr>
        <w:t xml:space="preserve"> </w:t>
      </w:r>
      <w:r w:rsidR="00674B92">
        <w:rPr>
          <w:szCs w:val="20"/>
          <w:lang w:eastAsia="ja-JP"/>
        </w:rPr>
        <w:t xml:space="preserve">such as COST 231 </w:t>
      </w:r>
      <w:r w:rsidR="00291EDC">
        <w:rPr>
          <w:szCs w:val="20"/>
          <w:lang w:eastAsia="ja-JP"/>
        </w:rPr>
        <w:fldChar w:fldCharType="begin"/>
      </w:r>
      <w:r w:rsidR="00291EDC">
        <w:rPr>
          <w:szCs w:val="20"/>
          <w:lang w:eastAsia="ja-JP"/>
        </w:rPr>
        <w:instrText xml:space="preserve"> REF _Ref447139672 \r \h </w:instrText>
      </w:r>
      <w:r w:rsidR="00291EDC">
        <w:rPr>
          <w:szCs w:val="20"/>
          <w:lang w:eastAsia="ja-JP"/>
        </w:rPr>
      </w:r>
      <w:r w:rsidR="00291EDC">
        <w:rPr>
          <w:szCs w:val="20"/>
          <w:lang w:eastAsia="ja-JP"/>
        </w:rPr>
        <w:fldChar w:fldCharType="separate"/>
      </w:r>
      <w:r w:rsidR="00291EDC">
        <w:rPr>
          <w:szCs w:val="20"/>
          <w:lang w:eastAsia="ja-JP"/>
        </w:rPr>
        <w:t>[3]</w:t>
      </w:r>
      <w:r w:rsidR="00291EDC">
        <w:rPr>
          <w:szCs w:val="20"/>
          <w:lang w:eastAsia="ja-JP"/>
        </w:rPr>
        <w:fldChar w:fldCharType="end"/>
      </w:r>
      <w:r w:rsidR="00674B92">
        <w:rPr>
          <w:szCs w:val="20"/>
          <w:lang w:eastAsia="ja-JP"/>
        </w:rPr>
        <w:t xml:space="preserve"> and IMT-Adv </w:t>
      </w:r>
      <w:r w:rsidR="00291EDC">
        <w:rPr>
          <w:szCs w:val="20"/>
          <w:lang w:eastAsia="ja-JP"/>
        </w:rPr>
        <w:fldChar w:fldCharType="begin"/>
      </w:r>
      <w:r w:rsidR="00291EDC">
        <w:rPr>
          <w:szCs w:val="20"/>
          <w:lang w:eastAsia="ja-JP"/>
        </w:rPr>
        <w:instrText xml:space="preserve"> REF _Ref447139674 \r \h </w:instrText>
      </w:r>
      <w:r w:rsidR="00291EDC">
        <w:rPr>
          <w:szCs w:val="20"/>
          <w:lang w:eastAsia="ja-JP"/>
        </w:rPr>
      </w:r>
      <w:r w:rsidR="00291EDC">
        <w:rPr>
          <w:szCs w:val="20"/>
          <w:lang w:eastAsia="ja-JP"/>
        </w:rPr>
        <w:fldChar w:fldCharType="separate"/>
      </w:r>
      <w:r w:rsidR="00291EDC">
        <w:rPr>
          <w:szCs w:val="20"/>
          <w:lang w:eastAsia="ja-JP"/>
        </w:rPr>
        <w:t>[4]</w:t>
      </w:r>
      <w:r w:rsidR="00291EDC">
        <w:rPr>
          <w:szCs w:val="20"/>
          <w:lang w:eastAsia="ja-JP"/>
        </w:rPr>
        <w:fldChar w:fldCharType="end"/>
      </w:r>
      <w:r w:rsidR="00291EDC">
        <w:rPr>
          <w:szCs w:val="20"/>
          <w:lang w:eastAsia="ja-JP"/>
        </w:rPr>
        <w:t xml:space="preserve">, a constant value was agreed as more suitable for a stochastic model. However, when determining the constant value it is good to understand the behavior of the penetration loss as a function of the incidence angle. In </w:t>
      </w:r>
      <w:r w:rsidR="00291EDC">
        <w:rPr>
          <w:szCs w:val="20"/>
          <w:lang w:eastAsia="ja-JP"/>
        </w:rPr>
        <w:fldChar w:fldCharType="begin"/>
      </w:r>
      <w:r w:rsidR="00291EDC">
        <w:rPr>
          <w:szCs w:val="20"/>
          <w:lang w:eastAsia="ja-JP"/>
        </w:rPr>
        <w:instrText xml:space="preserve"> REF _Ref447139674 \r \h </w:instrText>
      </w:r>
      <w:r w:rsidR="00291EDC">
        <w:rPr>
          <w:szCs w:val="20"/>
          <w:lang w:eastAsia="ja-JP"/>
        </w:rPr>
      </w:r>
      <w:r w:rsidR="00291EDC">
        <w:rPr>
          <w:szCs w:val="20"/>
          <w:lang w:eastAsia="ja-JP"/>
        </w:rPr>
        <w:fldChar w:fldCharType="separate"/>
      </w:r>
      <w:r w:rsidR="00291EDC">
        <w:rPr>
          <w:szCs w:val="20"/>
          <w:lang w:eastAsia="ja-JP"/>
        </w:rPr>
        <w:t>[4]</w:t>
      </w:r>
      <w:r w:rsidR="00291EDC">
        <w:rPr>
          <w:szCs w:val="20"/>
          <w:lang w:eastAsia="ja-JP"/>
        </w:rPr>
        <w:fldChar w:fldCharType="end"/>
      </w:r>
      <w:r w:rsidR="00291EDC">
        <w:rPr>
          <w:szCs w:val="20"/>
          <w:lang w:eastAsia="ja-JP"/>
        </w:rPr>
        <w:t xml:space="preserve">, </w:t>
      </w:r>
      <w:r w:rsidR="009C26E5">
        <w:rPr>
          <w:szCs w:val="20"/>
          <w:lang w:eastAsia="ja-JP"/>
        </w:rPr>
        <w:t xml:space="preserve">the incidence angle dependence is on the form </w:t>
      </w:r>
      <m:oMath>
        <m:r>
          <w:rPr>
            <w:rFonts w:ascii="Cambria Math" w:hAnsi="Cambria Math"/>
            <w:szCs w:val="20"/>
            <w:lang w:eastAsia="ja-JP"/>
          </w:rPr>
          <m:t>15⋅</m:t>
        </m:r>
        <m:d>
          <m:dPr>
            <m:ctrlPr>
              <w:rPr>
                <w:rFonts w:ascii="Cambria Math" w:hAnsi="Cambria Math"/>
                <w:i/>
                <w:szCs w:val="20"/>
                <w:lang w:eastAsia="ja-JP"/>
              </w:rPr>
            </m:ctrlPr>
          </m:dPr>
          <m:e>
            <m:r>
              <w:rPr>
                <w:rFonts w:ascii="Cambria Math" w:hAnsi="Cambria Math"/>
                <w:szCs w:val="20"/>
                <w:lang w:eastAsia="ja-JP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Cs w:val="20"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  <w:lang w:eastAsia="ja-JP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eastAsia="ja-JP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0"/>
                            <w:lang w:eastAsia="ja-JP"/>
                          </w:rPr>
                          <m:t>θ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hAnsi="Cambria Math"/>
                    <w:szCs w:val="20"/>
                    <w:lang w:eastAsia="ja-JP"/>
                  </w:rPr>
                  <m:t>2</m:t>
                </m:r>
              </m:sup>
            </m:sSup>
          </m:e>
        </m:d>
      </m:oMath>
      <w:r w:rsidR="009C26E5">
        <w:rPr>
          <w:szCs w:val="20"/>
          <w:lang w:eastAsia="ja-JP"/>
        </w:rPr>
        <w:t xml:space="preserve">. This function was originally proposed in </w:t>
      </w:r>
      <w:r w:rsidR="009C26E5">
        <w:rPr>
          <w:szCs w:val="20"/>
          <w:lang w:eastAsia="ja-JP"/>
        </w:rPr>
        <w:fldChar w:fldCharType="begin"/>
      </w:r>
      <w:r w:rsidR="009C26E5">
        <w:rPr>
          <w:szCs w:val="20"/>
          <w:lang w:eastAsia="ja-JP"/>
        </w:rPr>
        <w:instrText xml:space="preserve"> REF _Ref447139672 \r \h </w:instrText>
      </w:r>
      <w:r w:rsidR="009C26E5">
        <w:rPr>
          <w:szCs w:val="20"/>
          <w:lang w:eastAsia="ja-JP"/>
        </w:rPr>
      </w:r>
      <w:r w:rsidR="009C26E5">
        <w:rPr>
          <w:szCs w:val="20"/>
          <w:lang w:eastAsia="ja-JP"/>
        </w:rPr>
        <w:fldChar w:fldCharType="separate"/>
      </w:r>
      <w:r w:rsidR="009C26E5">
        <w:rPr>
          <w:szCs w:val="20"/>
          <w:lang w:eastAsia="ja-JP"/>
        </w:rPr>
        <w:t>[3]</w:t>
      </w:r>
      <w:r w:rsidR="009C26E5">
        <w:rPr>
          <w:szCs w:val="20"/>
          <w:lang w:eastAsia="ja-JP"/>
        </w:rPr>
        <w:fldChar w:fldCharType="end"/>
      </w:r>
      <w:r w:rsidR="009C26E5">
        <w:rPr>
          <w:szCs w:val="20"/>
          <w:lang w:eastAsia="ja-JP"/>
        </w:rPr>
        <w:t xml:space="preserve">, where a 20 dB difference between perpendicular and grazing incidence is proposed. When the incidence angles are distributed over a wide range as in NLOS conditions </w:t>
      </w:r>
      <w:r w:rsidR="009C26E5">
        <w:rPr>
          <w:szCs w:val="20"/>
          <w:lang w:eastAsia="ja-JP"/>
        </w:rPr>
        <w:fldChar w:fldCharType="begin"/>
      </w:r>
      <w:r w:rsidR="009C26E5">
        <w:rPr>
          <w:szCs w:val="20"/>
          <w:lang w:eastAsia="ja-JP"/>
        </w:rPr>
        <w:instrText xml:space="preserve"> REF _Ref447139672 \r \h </w:instrText>
      </w:r>
      <w:r w:rsidR="009C26E5">
        <w:rPr>
          <w:szCs w:val="20"/>
          <w:lang w:eastAsia="ja-JP"/>
        </w:rPr>
      </w:r>
      <w:r w:rsidR="009C26E5">
        <w:rPr>
          <w:szCs w:val="20"/>
          <w:lang w:eastAsia="ja-JP"/>
        </w:rPr>
        <w:fldChar w:fldCharType="separate"/>
      </w:r>
      <w:r w:rsidR="009C26E5">
        <w:rPr>
          <w:szCs w:val="20"/>
          <w:lang w:eastAsia="ja-JP"/>
        </w:rPr>
        <w:t>[3]</w:t>
      </w:r>
      <w:r w:rsidR="009C26E5">
        <w:rPr>
          <w:szCs w:val="20"/>
          <w:lang w:eastAsia="ja-JP"/>
        </w:rPr>
        <w:fldChar w:fldCharType="end"/>
      </w:r>
      <w:r w:rsidR="009C26E5">
        <w:rPr>
          <w:szCs w:val="20"/>
          <w:lang w:eastAsia="ja-JP"/>
        </w:rPr>
        <w:t xml:space="preserve"> proposes a value of 3-5 dB for 900 MHz. </w:t>
      </w:r>
    </w:p>
    <w:p w:rsidR="00674B92" w:rsidRDefault="00E45317" w:rsidP="00022E81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>To establish an average loss, a</w:t>
      </w:r>
      <w:r w:rsidR="00674B92">
        <w:rPr>
          <w:szCs w:val="20"/>
          <w:lang w:eastAsia="ja-JP"/>
        </w:rPr>
        <w:t xml:space="preserve"> set of uniformly distributed incidence angles </w:t>
      </w:r>
      <w:r>
        <w:rPr>
          <w:szCs w:val="20"/>
          <w:lang w:eastAsia="ja-JP"/>
        </w:rPr>
        <w:t xml:space="preserve">were generated </w:t>
      </w:r>
      <w:r w:rsidR="00674B92">
        <w:rPr>
          <w:szCs w:val="20"/>
          <w:lang w:eastAsia="ja-JP"/>
        </w:rPr>
        <w:t xml:space="preserve">and the power of each ray </w:t>
      </w:r>
      <w:r>
        <w:rPr>
          <w:szCs w:val="20"/>
          <w:lang w:eastAsia="ja-JP"/>
        </w:rPr>
        <w:t xml:space="preserve">was calculated </w:t>
      </w:r>
      <w:r w:rsidR="00674B92">
        <w:rPr>
          <w:szCs w:val="20"/>
          <w:lang w:eastAsia="ja-JP"/>
        </w:rPr>
        <w:t xml:space="preserve">assuming one of the incidence angle models. By further averaging the resulting power over all incidence angles a constant loss </w:t>
      </w:r>
      <w:r>
        <w:rPr>
          <w:szCs w:val="20"/>
          <w:lang w:eastAsia="ja-JP"/>
        </w:rPr>
        <w:t xml:space="preserve">was </w:t>
      </w:r>
      <w:r w:rsidR="00674B92">
        <w:rPr>
          <w:szCs w:val="20"/>
          <w:lang w:eastAsia="ja-JP"/>
        </w:rPr>
        <w:t xml:space="preserve">calculated. For the </w:t>
      </w:r>
      <w:r w:rsidR="00BA72EC">
        <w:rPr>
          <w:szCs w:val="20"/>
          <w:lang w:eastAsia="ja-JP"/>
        </w:rPr>
        <w:t xml:space="preserve">COST 231 </w:t>
      </w:r>
      <w:r>
        <w:rPr>
          <w:szCs w:val="20"/>
          <w:lang w:eastAsia="ja-JP"/>
        </w:rPr>
        <w:t>model the average was found to be</w:t>
      </w:r>
      <w:r w:rsidR="00BA72EC">
        <w:rPr>
          <w:szCs w:val="20"/>
          <w:lang w:eastAsia="ja-JP"/>
        </w:rPr>
        <w:t xml:space="preserve"> 5.4 dB while for the IMT-Adv model the average </w:t>
      </w:r>
      <w:r>
        <w:rPr>
          <w:szCs w:val="20"/>
          <w:lang w:eastAsia="ja-JP"/>
        </w:rPr>
        <w:t>was</w:t>
      </w:r>
      <w:r w:rsidR="00BA72EC">
        <w:rPr>
          <w:szCs w:val="20"/>
          <w:lang w:eastAsia="ja-JP"/>
        </w:rPr>
        <w:t xml:space="preserve"> 4.7 dB.</w:t>
      </w:r>
    </w:p>
    <w:p w:rsidR="00674B92" w:rsidRDefault="00674B92" w:rsidP="00022E81">
      <w:pPr>
        <w:pStyle w:val="BodyText"/>
        <w:rPr>
          <w:b/>
        </w:rPr>
      </w:pPr>
      <w:r>
        <w:rPr>
          <w:b/>
        </w:rPr>
        <w:t>Observation</w:t>
      </w:r>
      <w:r w:rsidRPr="001D0503">
        <w:rPr>
          <w:b/>
        </w:rPr>
        <w:t>:</w:t>
      </w:r>
      <w:r>
        <w:rPr>
          <w:b/>
        </w:rPr>
        <w:t xml:space="preserve"> By using well established models for the incidence angle dependence of the building penetration loss and averaging the loss over all incidence angles a mean loss of 4.7-5.4 dB is observed</w:t>
      </w:r>
    </w:p>
    <w:p w:rsidR="00FE5799" w:rsidRDefault="00FE5799" w:rsidP="00FE5799">
      <w:pPr>
        <w:pStyle w:val="Heading1"/>
      </w:pPr>
      <w:r>
        <w:t>Conclusion</w:t>
      </w:r>
    </w:p>
    <w:p w:rsidR="00113299" w:rsidRDefault="00027425" w:rsidP="00F062F2">
      <w:pPr>
        <w:pStyle w:val="BodyText"/>
      </w:pPr>
      <w:r>
        <w:t>Based on the discussion above, t</w:t>
      </w:r>
      <w:r w:rsidR="00792F9C">
        <w:t>he following is proposed:</w:t>
      </w:r>
    </w:p>
    <w:p w:rsidR="00792F9C" w:rsidRDefault="00792F9C" w:rsidP="00792F9C">
      <w:pPr>
        <w:pStyle w:val="BodyText"/>
        <w:rPr>
          <w:b/>
        </w:rPr>
      </w:pPr>
      <w:r w:rsidRPr="001D0503">
        <w:rPr>
          <w:b/>
        </w:rPr>
        <w:t>Proposal</w:t>
      </w:r>
      <w:r w:rsidR="00674B92">
        <w:rPr>
          <w:b/>
        </w:rPr>
        <w:t xml:space="preserve"> 1</w:t>
      </w:r>
      <w:r w:rsidRPr="001D0503">
        <w:rPr>
          <w:b/>
        </w:rPr>
        <w:t xml:space="preserve">: </w:t>
      </w:r>
      <w:r w:rsidR="00027425">
        <w:rPr>
          <w:b/>
        </w:rPr>
        <w:t xml:space="preserve">Use a value of 5 dB for compensating the path loss through the external wall for </w:t>
      </w:r>
      <w:r w:rsidR="00E11344">
        <w:rPr>
          <w:b/>
        </w:rPr>
        <w:t xml:space="preserve">non-perpendicular </w:t>
      </w:r>
      <w:r w:rsidR="00027425">
        <w:rPr>
          <w:b/>
        </w:rPr>
        <w:t>incidence angles</w:t>
      </w:r>
    </w:p>
    <w:p w:rsidR="00E45317" w:rsidRPr="00E45317" w:rsidRDefault="00E45317" w:rsidP="00792F9C">
      <w:pPr>
        <w:pStyle w:val="BodyText"/>
      </w:pPr>
      <w:r>
        <w:t>Th</w:t>
      </w:r>
      <w:r w:rsidR="00B73929">
        <w:t>is</w:t>
      </w:r>
      <w:r>
        <w:t xml:space="preserve"> </w:t>
      </w:r>
      <w:r w:rsidR="00B73929">
        <w:t>proposal</w:t>
      </w:r>
      <w:r>
        <w:t xml:space="preserve"> </w:t>
      </w:r>
      <w:r w:rsidR="00B73929">
        <w:t>is</w:t>
      </w:r>
      <w:r>
        <w:t xml:space="preserve"> captured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3327"/>
        <w:gridCol w:w="1295"/>
        <w:gridCol w:w="2311"/>
      </w:tblGrid>
      <w:tr w:rsidR="00E45317" w:rsidRPr="0029608A" w:rsidTr="0079450A">
        <w:tc>
          <w:tcPr>
            <w:tcW w:w="2310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 </w:t>
            </w:r>
          </w:p>
        </w:tc>
        <w:tc>
          <w:tcPr>
            <w:tcW w:w="3327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Path loss through external wall: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PL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tw</m:t>
                  </m:r>
                </m:sub>
              </m:sSub>
            </m:oMath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[dB]</w:t>
            </w:r>
          </w:p>
        </w:tc>
        <w:tc>
          <w:tcPr>
            <w:tcW w:w="1295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Indoor loss: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PL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ja-JP"/>
                    </w:rPr>
                    <m:t>in</m:t>
                  </m:r>
                </m:sub>
              </m:sSub>
            </m:oMath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[dB/m]</w:t>
            </w:r>
          </w:p>
        </w:tc>
        <w:tc>
          <w:tcPr>
            <w:tcW w:w="2311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Standard deviation: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eastAsia="ja-JP"/>
                </w:rPr>
                <m:t>σ</m:t>
              </m:r>
            </m:oMath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[dB]</w:t>
            </w:r>
          </w:p>
        </w:tc>
      </w:tr>
      <w:tr w:rsidR="00E45317" w:rsidRPr="0029608A" w:rsidTr="0079450A">
        <w:tc>
          <w:tcPr>
            <w:tcW w:w="2310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Low loss model</w:t>
            </w:r>
          </w:p>
        </w:tc>
        <w:tc>
          <w:tcPr>
            <w:tcW w:w="3327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2"/>
                    <w:szCs w:val="22"/>
                    <w:lang w:eastAsia="ja-JP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-10</m:t>
                </m:r>
                <m:sSub>
                  <m:sSub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0.3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glass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0.7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concrete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</w:tc>
        <w:tc>
          <w:tcPr>
            <w:tcW w:w="1295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2311" w:type="dxa"/>
          </w:tcPr>
          <w:p w:rsidR="00E45317" w:rsidRPr="00B73929" w:rsidRDefault="00B73929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[3]</w:t>
            </w:r>
          </w:p>
        </w:tc>
      </w:tr>
      <w:tr w:rsidR="00E45317" w:rsidRPr="0029608A" w:rsidTr="0079450A">
        <w:tc>
          <w:tcPr>
            <w:tcW w:w="2310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lastRenderedPageBreak/>
              <w:t>High loss model</w:t>
            </w:r>
          </w:p>
        </w:tc>
        <w:tc>
          <w:tcPr>
            <w:tcW w:w="3327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2"/>
                    <w:szCs w:val="22"/>
                    <w:lang w:eastAsia="ja-JP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-10</m:t>
                </m:r>
                <m:sSub>
                  <m:sSub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0.7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IRRglass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eastAsia="ja-JP"/>
                      </w:rPr>
                      <m:t>0.3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Arial"/>
                        <w:sz w:val="22"/>
                        <w:szCs w:val="22"/>
                        <w:lang w:eastAsia="ja-JP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Arial"/>
                            <w:sz w:val="22"/>
                            <w:szCs w:val="22"/>
                            <w:lang w:eastAsia="ja-JP"/>
                          </w:rPr>
                          <m:t>-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Arial"/>
                                    <w:sz w:val="22"/>
                                    <w:szCs w:val="22"/>
                                    <w:lang w:eastAsia="ja-JP"/>
                                  </w:rPr>
                                  <m:t>concrete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22"/>
                                <w:szCs w:val="22"/>
                                <w:lang w:eastAsia="ja-JP"/>
                              </w:rPr>
                              <m:t>10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</w:tc>
        <w:tc>
          <w:tcPr>
            <w:tcW w:w="1295" w:type="dxa"/>
          </w:tcPr>
          <w:p w:rsidR="00E45317" w:rsidRPr="0029608A" w:rsidRDefault="00E45317" w:rsidP="0079450A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9608A">
              <w:rPr>
                <w:rFonts w:ascii="Arial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2311" w:type="dxa"/>
          </w:tcPr>
          <w:p w:rsidR="00E45317" w:rsidRPr="00E45317" w:rsidRDefault="00B73929" w:rsidP="0079450A">
            <w:pPr>
              <w:rPr>
                <w:rFonts w:ascii="Arial" w:hAnsi="Arial" w:cs="Arial"/>
                <w:sz w:val="22"/>
                <w:szCs w:val="22"/>
                <w:u w:val="single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[5]</w:t>
            </w:r>
          </w:p>
        </w:tc>
      </w:tr>
    </w:tbl>
    <w:p w:rsidR="00E45317" w:rsidRPr="001D0503" w:rsidRDefault="00E45317" w:rsidP="00792F9C">
      <w:pPr>
        <w:pStyle w:val="BodyText"/>
        <w:rPr>
          <w:b/>
        </w:rPr>
      </w:pPr>
    </w:p>
    <w:p w:rsidR="004A619D" w:rsidRPr="00510266" w:rsidRDefault="004A619D" w:rsidP="004A619D">
      <w:pPr>
        <w:pStyle w:val="Heading1"/>
      </w:pPr>
      <w:r w:rsidRPr="00510266">
        <w:t>References</w:t>
      </w:r>
    </w:p>
    <w:p w:rsidR="00113299" w:rsidRDefault="00540320" w:rsidP="00540320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4" w:name="_Ref447138705"/>
      <w:r>
        <w:rPr>
          <w:szCs w:val="20"/>
          <w:lang w:val="it-IT"/>
        </w:rPr>
        <w:t>3GPP R1-161687, “</w:t>
      </w:r>
      <w:r w:rsidRPr="00540320">
        <w:rPr>
          <w:szCs w:val="20"/>
          <w:lang w:val="it-IT"/>
        </w:rPr>
        <w:t>Building penetration loss modelling</w:t>
      </w:r>
      <w:r>
        <w:rPr>
          <w:szCs w:val="20"/>
          <w:lang w:val="it-IT"/>
        </w:rPr>
        <w:t xml:space="preserve">”, </w:t>
      </w:r>
      <w:r w:rsidRPr="00540320">
        <w:rPr>
          <w:szCs w:val="20"/>
          <w:lang w:val="it-IT"/>
        </w:rPr>
        <w:t>Ericsson, Nokia Networks, AT&amp;T, CMCC, ETRI, Huawei, HiSilicon, Intel, KT Corporation, NTT DOCOMO, Qualcomm, Samsung</w:t>
      </w:r>
      <w:r>
        <w:rPr>
          <w:szCs w:val="20"/>
          <w:lang w:val="it-IT"/>
        </w:rPr>
        <w:t>, March 2016.</w:t>
      </w:r>
      <w:bookmarkEnd w:id="4"/>
    </w:p>
    <w:p w:rsidR="00540320" w:rsidRDefault="00540320" w:rsidP="00540320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5" w:name="_Ref447138707"/>
      <w:r>
        <w:rPr>
          <w:szCs w:val="20"/>
          <w:lang w:val="it-IT"/>
        </w:rPr>
        <w:t>3GPP R1-161737, “</w:t>
      </w:r>
      <w:r w:rsidRPr="00540320">
        <w:rPr>
          <w:szCs w:val="20"/>
          <w:lang w:val="it-IT"/>
        </w:rPr>
        <w:t>WF on outdoor to indoor propagation</w:t>
      </w:r>
      <w:r>
        <w:rPr>
          <w:szCs w:val="20"/>
          <w:lang w:val="it-IT"/>
        </w:rPr>
        <w:t xml:space="preserve">”, </w:t>
      </w:r>
      <w:r w:rsidRPr="00540320">
        <w:rPr>
          <w:szCs w:val="20"/>
          <w:lang w:val="it-IT"/>
        </w:rPr>
        <w:t>Huawei, HiSilicon, Ericsson</w:t>
      </w:r>
      <w:r>
        <w:rPr>
          <w:szCs w:val="20"/>
          <w:lang w:val="it-IT"/>
        </w:rPr>
        <w:t>, March 2016.</w:t>
      </w:r>
      <w:bookmarkEnd w:id="5"/>
    </w:p>
    <w:p w:rsidR="00291EDC" w:rsidRDefault="00291EDC" w:rsidP="00291EDC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6" w:name="_Ref447139672"/>
      <w:r>
        <w:rPr>
          <w:szCs w:val="20"/>
          <w:lang w:val="it-IT"/>
        </w:rPr>
        <w:t>E. Damosso, ed. “Digital mobile radio towards future generation systems – COST 231 final report”</w:t>
      </w:r>
      <w:r w:rsidR="009C26E5">
        <w:rPr>
          <w:szCs w:val="20"/>
          <w:lang w:val="it-IT"/>
        </w:rPr>
        <w:t xml:space="preserve"> section 4.6</w:t>
      </w:r>
      <w:r>
        <w:rPr>
          <w:szCs w:val="20"/>
          <w:lang w:val="it-IT"/>
        </w:rPr>
        <w:t xml:space="preserve">, online: </w:t>
      </w:r>
      <w:hyperlink r:id="rId9" w:history="1">
        <w:r w:rsidRPr="005B25DF">
          <w:rPr>
            <w:rStyle w:val="Hyperlink"/>
            <w:szCs w:val="20"/>
            <w:lang w:val="it-IT"/>
          </w:rPr>
          <w:t>http://www.lx.it.pt/cost231/final_report.htm</w:t>
        </w:r>
      </w:hyperlink>
      <w:bookmarkEnd w:id="6"/>
      <w:r>
        <w:rPr>
          <w:szCs w:val="20"/>
          <w:lang w:val="it-IT"/>
        </w:rPr>
        <w:t xml:space="preserve"> </w:t>
      </w:r>
    </w:p>
    <w:p w:rsidR="00291EDC" w:rsidRDefault="00291EDC" w:rsidP="00291EDC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7" w:name="_Ref447139674"/>
      <w:r>
        <w:rPr>
          <w:szCs w:val="20"/>
          <w:lang w:val="it-IT"/>
        </w:rPr>
        <w:t>Report ITU-R M.2135-1 “</w:t>
      </w:r>
      <w:r w:rsidRPr="00291EDC">
        <w:rPr>
          <w:szCs w:val="20"/>
          <w:lang w:val="it-IT"/>
        </w:rPr>
        <w:t>Guidelines for evaluation of radio interface technologies for IMT-Advanced</w:t>
      </w:r>
      <w:r>
        <w:rPr>
          <w:szCs w:val="20"/>
          <w:lang w:val="it-IT"/>
        </w:rPr>
        <w:t>”, 2009.</w:t>
      </w:r>
      <w:bookmarkEnd w:id="7"/>
    </w:p>
    <w:p w:rsidR="00BA72EC" w:rsidRDefault="00BA72EC" w:rsidP="00BA72EC">
      <w:pPr>
        <w:numPr>
          <w:ilvl w:val="0"/>
          <w:numId w:val="2"/>
        </w:numPr>
        <w:jc w:val="both"/>
        <w:rPr>
          <w:szCs w:val="20"/>
          <w:lang w:val="it-IT"/>
        </w:rPr>
      </w:pPr>
      <w:r w:rsidRPr="00BA72EC">
        <w:rPr>
          <w:szCs w:val="20"/>
          <w:lang w:val="it-IT"/>
        </w:rPr>
        <w:t>Aalto University, AT&amp;T, BUPT, CMCC, Ericsson, Huawei, Intel, KT Corporation, Nokia, NTT DOCOMO, New York University, Qualcomm, Samsung, University of Bristol, University of Southern California, “5G Channel Model for bands u</w:t>
      </w:r>
      <w:r>
        <w:rPr>
          <w:szCs w:val="20"/>
          <w:lang w:val="it-IT"/>
        </w:rPr>
        <w:t xml:space="preserve">p to 100 GHz (v2.0)”, Mar. 2016. Online: </w:t>
      </w:r>
      <w:hyperlink r:id="rId10" w:history="1">
        <w:r w:rsidRPr="005B25DF">
          <w:rPr>
            <w:rStyle w:val="Hyperlink"/>
            <w:szCs w:val="20"/>
            <w:lang w:val="it-IT"/>
          </w:rPr>
          <w:t>http://www.5gworkshops.com/5GCM.html</w:t>
        </w:r>
      </w:hyperlink>
      <w:r w:rsidRPr="00BA72EC">
        <w:rPr>
          <w:szCs w:val="20"/>
          <w:lang w:val="it-IT"/>
        </w:rPr>
        <w:t>.</w:t>
      </w:r>
    </w:p>
    <w:p w:rsidR="00027425" w:rsidRPr="00BA72EC" w:rsidRDefault="00027425" w:rsidP="00027425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8" w:name="_Ref447143493"/>
      <w:r w:rsidRPr="00027425">
        <w:rPr>
          <w:szCs w:val="20"/>
          <w:lang w:val="it-IT"/>
        </w:rPr>
        <w:t>3GPP TR 36.873 “Study on 3D channel model for LTE”, v12.0.0, June 2015.</w:t>
      </w:r>
      <w:bookmarkEnd w:id="8"/>
    </w:p>
    <w:p w:rsidR="001E2D3C" w:rsidRPr="001E2D3C" w:rsidRDefault="001E2D3C" w:rsidP="001E2D3C">
      <w:pPr>
        <w:pStyle w:val="Caption"/>
      </w:pPr>
    </w:p>
    <w:sectPr w:rsidR="001E2D3C" w:rsidRPr="001E2D3C" w:rsidSect="005403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737" w:rsidRDefault="00B06737">
      <w:r>
        <w:separator/>
      </w:r>
    </w:p>
  </w:endnote>
  <w:endnote w:type="continuationSeparator" w:id="0">
    <w:p w:rsidR="00B06737" w:rsidRDefault="00B0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737" w:rsidRDefault="00B06737">
      <w:r>
        <w:separator/>
      </w:r>
    </w:p>
  </w:footnote>
  <w:footnote w:type="continuationSeparator" w:id="0">
    <w:p w:rsidR="00B06737" w:rsidRDefault="00B067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B06737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F36D960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8"/>
        </w:tabs>
        <w:ind w:left="3289" w:hanging="1304"/>
      </w:pPr>
      <w:rPr>
        <w:strike w:val="0"/>
        <w:dstrike w:val="0"/>
        <w:u w:val="none"/>
        <w:effect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3"/>
        </w:tabs>
        <w:ind w:left="2564" w:hanging="13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3C142EA"/>
    <w:multiLevelType w:val="hybridMultilevel"/>
    <w:tmpl w:val="BCD6D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E82E97"/>
    <w:multiLevelType w:val="hybridMultilevel"/>
    <w:tmpl w:val="C122BAC2"/>
    <w:lvl w:ilvl="0" w:tplc="71F0A20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2E81"/>
    <w:rsid w:val="00027425"/>
    <w:rsid w:val="000318DB"/>
    <w:rsid w:val="00113299"/>
    <w:rsid w:val="001639B5"/>
    <w:rsid w:val="00183BA2"/>
    <w:rsid w:val="001B6B68"/>
    <w:rsid w:val="001B7BA4"/>
    <w:rsid w:val="001D0503"/>
    <w:rsid w:val="001E2D3C"/>
    <w:rsid w:val="0026076E"/>
    <w:rsid w:val="002908A9"/>
    <w:rsid w:val="00291EDC"/>
    <w:rsid w:val="002A5117"/>
    <w:rsid w:val="00360BA6"/>
    <w:rsid w:val="003702C7"/>
    <w:rsid w:val="003D5908"/>
    <w:rsid w:val="003F77D0"/>
    <w:rsid w:val="00440D91"/>
    <w:rsid w:val="00481DE8"/>
    <w:rsid w:val="00491BB9"/>
    <w:rsid w:val="004A3F44"/>
    <w:rsid w:val="004A619D"/>
    <w:rsid w:val="004E0AB2"/>
    <w:rsid w:val="005040AE"/>
    <w:rsid w:val="00540320"/>
    <w:rsid w:val="005511C6"/>
    <w:rsid w:val="005C1A27"/>
    <w:rsid w:val="005F758E"/>
    <w:rsid w:val="00631688"/>
    <w:rsid w:val="00646918"/>
    <w:rsid w:val="00674B92"/>
    <w:rsid w:val="00695FF4"/>
    <w:rsid w:val="006A286A"/>
    <w:rsid w:val="007076DA"/>
    <w:rsid w:val="007106CD"/>
    <w:rsid w:val="0072379A"/>
    <w:rsid w:val="00791C6A"/>
    <w:rsid w:val="00792F9C"/>
    <w:rsid w:val="007B3530"/>
    <w:rsid w:val="00813455"/>
    <w:rsid w:val="00872E9C"/>
    <w:rsid w:val="008A698A"/>
    <w:rsid w:val="00962D32"/>
    <w:rsid w:val="00983A13"/>
    <w:rsid w:val="00986D22"/>
    <w:rsid w:val="009C26E5"/>
    <w:rsid w:val="00A22139"/>
    <w:rsid w:val="00A55C73"/>
    <w:rsid w:val="00A5721A"/>
    <w:rsid w:val="00A84DD1"/>
    <w:rsid w:val="00A952C2"/>
    <w:rsid w:val="00B06737"/>
    <w:rsid w:val="00B368D9"/>
    <w:rsid w:val="00B66CA0"/>
    <w:rsid w:val="00B73929"/>
    <w:rsid w:val="00BA72EC"/>
    <w:rsid w:val="00C1560A"/>
    <w:rsid w:val="00C46A41"/>
    <w:rsid w:val="00C82C6E"/>
    <w:rsid w:val="00E11344"/>
    <w:rsid w:val="00E232CF"/>
    <w:rsid w:val="00E40C74"/>
    <w:rsid w:val="00E45317"/>
    <w:rsid w:val="00E747B0"/>
    <w:rsid w:val="00F002CD"/>
    <w:rsid w:val="00F01FBA"/>
    <w:rsid w:val="00F062F2"/>
    <w:rsid w:val="00F127D5"/>
    <w:rsid w:val="00F307F4"/>
    <w:rsid w:val="00F61907"/>
    <w:rsid w:val="00F64E0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62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062F2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791C6A"/>
    <w:rPr>
      <w:color w:val="808080"/>
    </w:rPr>
  </w:style>
  <w:style w:type="table" w:styleId="TableGrid">
    <w:name w:val="Table Grid"/>
    <w:basedOn w:val="TableNormal"/>
    <w:uiPriority w:val="59"/>
    <w:rsid w:val="00540320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1E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62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062F2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791C6A"/>
    <w:rPr>
      <w:color w:val="808080"/>
    </w:rPr>
  </w:style>
  <w:style w:type="table" w:styleId="TableGrid">
    <w:name w:val="Table Grid"/>
    <w:basedOn w:val="TableNormal"/>
    <w:uiPriority w:val="59"/>
    <w:rsid w:val="00540320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1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5gworkshops.com/5GCM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x.it.pt/cost231/final_report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522D4-76B9-4D17-A314-3655C030B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634</Words>
  <Characters>3367</Characters>
  <Application>Microsoft Office Word</Application>
  <DocSecurity>0</DocSecurity>
  <Lines>168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Henrik Asplund</cp:lastModifiedBy>
  <cp:revision>14</cp:revision>
  <dcterms:created xsi:type="dcterms:W3CDTF">2016-03-30T19:56:00Z</dcterms:created>
  <dcterms:modified xsi:type="dcterms:W3CDTF">2016-04-01T12:36:00Z</dcterms:modified>
</cp:coreProperties>
</file>